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7B3" w:rsidRPr="001C2CDB" w:rsidRDefault="00A107B3" w:rsidP="00A107B3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CDB">
        <w:rPr>
          <w:rFonts w:ascii="Times New Roman" w:hAnsi="Times New Roman" w:cs="Times New Roman"/>
          <w:b/>
          <w:bCs/>
          <w:color w:val="008000"/>
          <w:sz w:val="24"/>
          <w:szCs w:val="24"/>
          <w:shd w:val="clear" w:color="auto" w:fill="DCE1E5"/>
        </w:rPr>
        <w:t>ММ254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DCE1E5"/>
        </w:rPr>
        <w:t xml:space="preserve"> </w:t>
      </w:r>
      <w:r w:rsidRPr="000A5E6A">
        <w:rPr>
          <w:rFonts w:ascii="Times New Roman" w:hAnsi="Times New Roman" w:cs="Times New Roman"/>
          <w:color w:val="000000"/>
          <w:sz w:val="24"/>
          <w:szCs w:val="24"/>
        </w:rPr>
        <w:t>(6 баллов) Решения принимаются до 26.09.2020</w:t>
      </w:r>
    </w:p>
    <w:p w:rsidR="00A107B3" w:rsidRPr="000A5E6A" w:rsidRDefault="00A107B3" w:rsidP="00A107B3">
      <w:pPr>
        <w:spacing w:after="0"/>
        <w:ind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5E6A">
        <w:rPr>
          <w:rFonts w:ascii="Times New Roman" w:hAnsi="Times New Roman" w:cs="Times New Roman"/>
          <w:b/>
          <w:color w:val="000000"/>
          <w:sz w:val="24"/>
          <w:szCs w:val="24"/>
        </w:rPr>
        <w:t>Вася вписал круг в треугольник со сторонами 3, 4, 5. И вписывает новые круги так, что каждый последующий касается двух сторон треугольника и одного из предыдущих кругов. Может ли суммарная площадь кругов превысить 80% от площади треугольника и на каком шаге (круге) может случиться это событие?</w:t>
      </w:r>
    </w:p>
    <w:p w:rsidR="00A107B3" w:rsidRDefault="00A107B3" w:rsidP="00A107B3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107B3" w:rsidRDefault="00A107B3" w:rsidP="00A107B3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Ответ: событие может произойти на любом круге, начиная с шестого.</w:t>
      </w:r>
    </w:p>
    <w:p w:rsidR="00A107B3" w:rsidRPr="00BA63DC" w:rsidRDefault="00A107B3" w:rsidP="00A107B3">
      <w:pPr>
        <w:spacing w:after="0"/>
        <w:ind w:firstLine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Решение: Площади кругов, идущие к любой из вершин треугольника, образуют геометрические прогрессии со знаменателями, равными </w:t>
      </w:r>
      <m:oMath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24"/>
                            <w:szCs w:val="24"/>
                          </w:rPr>
                          <m:t>x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-1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24"/>
                            <w:szCs w:val="24"/>
                          </w:rPr>
                          <m:t>x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+1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, где </w:t>
      </w:r>
      <m:oMath>
        <m:r>
          <w:rPr>
            <w:rFonts w:ascii="Cambria Math" w:eastAsiaTheme="minorEastAsia" w:hAnsi="Cambria Math" w:cs="Times New Roman"/>
            <w:color w:val="000000"/>
            <w:sz w:val="24"/>
            <w:szCs w:val="24"/>
          </w:rPr>
          <m:t>x=10, 5, 2</m:t>
        </m:r>
      </m:oMath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соответственно для меньшего, среднего и большего (прямого) угла при вершинах треугольника. Приближенные значения знаменателей этих прогрессий соответственно равны </w:t>
      </w:r>
      <m:oMath>
        <m:r>
          <w:rPr>
            <w:rFonts w:ascii="Cambria Math" w:eastAsiaTheme="minorEastAsia" w:hAnsi="Cambria Math" w:cs="Times New Roman"/>
            <w:color w:val="000000"/>
            <w:sz w:val="24"/>
            <w:szCs w:val="24"/>
          </w:rPr>
          <m:t>A≈0,269874</m:t>
        </m:r>
      </m:oMath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="Times New Roman"/>
            <w:color w:val="000000"/>
            <w:sz w:val="24"/>
            <w:szCs w:val="24"/>
          </w:rPr>
          <m:t>B≈0,145890</m:t>
        </m:r>
      </m:oMath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="Times New Roman"/>
            <w:color w:val="000000"/>
            <w:sz w:val="24"/>
            <w:szCs w:val="24"/>
          </w:rPr>
          <m:t>C≈0,029437</m:t>
        </m:r>
      </m:oMath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. Площади кругов (по отношению к площади вписанного круга) будем обозначать соответственно </w:t>
      </w:r>
      <m:oMath>
        <m:r>
          <w:rPr>
            <w:rFonts w:ascii="Cambria Math" w:eastAsiaTheme="minorEastAsia" w:hAnsi="Cambria Math" w:cs="Times New Roman"/>
            <w:color w:val="000000"/>
            <w:sz w:val="24"/>
            <w:szCs w:val="24"/>
          </w:rPr>
          <m:t>Ai=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4"/>
                <w:szCs w:val="24"/>
              </w:rPr>
              <m:t>i</m:t>
            </m:r>
          </m:sup>
        </m:sSup>
      </m:oMath>
      <w:r w:rsidRPr="00104DA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="Times New Roman"/>
            <w:color w:val="000000"/>
            <w:sz w:val="24"/>
            <w:szCs w:val="24"/>
          </w:rPr>
          <m:t>Bi=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4"/>
                <w:szCs w:val="24"/>
              </w:rPr>
              <m:t>i</m:t>
            </m:r>
          </m:sup>
        </m:sSup>
      </m:oMath>
      <w:r w:rsidRPr="00104DA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="Times New Roman"/>
            <w:color w:val="000000"/>
            <w:sz w:val="24"/>
            <w:szCs w:val="24"/>
          </w:rPr>
          <m:t>Ci=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4"/>
                <w:szCs w:val="24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4"/>
                <w:szCs w:val="24"/>
              </w:rPr>
              <m:t>i</m:t>
            </m:r>
          </m:sup>
        </m:sSup>
      </m:oMath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.</w:t>
      </w:r>
      <w:r w:rsidRPr="00104DA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80 процентов от площади треугольника составляет 1,527887 площадей вписанного треугольника. Суммарная площадь всех кругов превышает это число, поэтому на каком-то шаге событие может произойти. </w:t>
      </w:r>
    </w:p>
    <w:p w:rsidR="00A107B3" w:rsidRDefault="00A107B3" w:rsidP="00A107B3">
      <w:pPr>
        <w:spacing w:after="0"/>
        <w:ind w:firstLine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Наименьшим количество кругов будет, если на каждом шаге Вася вписывает круг максимального из возможных на этом шаге радиуса. Поэтому меньше чем за 6 шагов площадь кругов не достигнет 80 процентов от площади треугольника, а за 6 шагов может превысить 80 процентов, если Вася впишет последовательно круги с площадями, относящихся к площади вписанного круга как:</w:t>
      </w:r>
    </w:p>
    <w:p w:rsidR="00A107B3" w:rsidRDefault="00A107B3" w:rsidP="00A107B3">
      <w:pPr>
        <w:spacing w:after="0"/>
        <w:ind w:firstLine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1 (сам вписанный круг),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A</w:t>
      </w:r>
      <w:r w:rsidRPr="00BA63DC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1 = 0,269873…,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B</w:t>
      </w:r>
      <w:r w:rsidRPr="00BA63DC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1 = 0,145890…,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A</w:t>
      </w:r>
      <w:r w:rsidRPr="00BA63DC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2 = 0,072831…,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C</w:t>
      </w:r>
      <w:r w:rsidRPr="00BA63DC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1 = 0,0294372…,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B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2 = 0,021286…</w:t>
      </w:r>
    </w:p>
    <w:p w:rsidR="00A107B3" w:rsidRDefault="00A107B3" w:rsidP="00A107B3">
      <w:pPr>
        <w:spacing w:after="0"/>
        <w:ind w:firstLine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Если в этой последовательности после круга площадью С1 Вася произвольное число других кругов площадью С</w:t>
      </w:r>
      <w:proofErr w:type="spellStart"/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, то площадь всех кругов не достигнет 80 процентов от площади треугольника, пока не будет взят В2. Таким образом, Вася может покрыть более 80 процентов на любом шаге с номером, больше 6.</w:t>
      </w:r>
    </w:p>
    <w:p w:rsidR="00CD3EEF" w:rsidRDefault="00A107B3" w:rsidP="00A107B3"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Покрытие 80 процентов треугольника может и не произойти ни на каком шаге, если Вася, например, последовательно будет вписывать только круги площадями 1, С1, С2, С3, С4</w:t>
      </w:r>
      <w:bookmarkStart w:id="0" w:name="_GoBack"/>
      <w:bookmarkEnd w:id="0"/>
    </w:p>
    <w:sectPr w:rsidR="00CD3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7B3"/>
    <w:rsid w:val="00A107B3"/>
    <w:rsid w:val="00CD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7ABA5-7B2F-4C7F-8EB4-F57558EB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7B3"/>
    <w:pPr>
      <w:spacing w:after="200" w:line="276" w:lineRule="auto"/>
    </w:pPr>
    <w:rPr>
      <w:rFonts w:asciiTheme="minorHAnsi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Лецко</dc:creator>
  <cp:keywords/>
  <dc:description/>
  <cp:lastModifiedBy>Владимир Лецко</cp:lastModifiedBy>
  <cp:revision>1</cp:revision>
  <dcterms:created xsi:type="dcterms:W3CDTF">2020-09-27T08:07:00Z</dcterms:created>
  <dcterms:modified xsi:type="dcterms:W3CDTF">2020-09-27T08:07:00Z</dcterms:modified>
</cp:coreProperties>
</file>